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14:paraId="5FF925CD" w14:textId="07898C13"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c/o NERA Economic Consulting (“NERA”)</w:t>
      </w:r>
    </w:p>
    <w:p w14:paraId="742C051B" w14:textId="77777777"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14:paraId="57CCE2A1" w14:textId="77777777"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14:paraId="6A1F2436" w14:textId="77777777"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14:paraId="47BD10C5" w14:textId="77777777"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14:paraId="3B3937A6" w14:textId="77777777" w:rsidR="00307929" w:rsidRPr="00926A57" w:rsidRDefault="0030792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7777777"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291C466F"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r>
      <w:bookmarkStart w:id="0" w:name="_GoBack"/>
      <w:r w:rsidRPr="00926A57">
        <w:rPr>
          <w:rFonts w:asciiTheme="majorHAnsi" w:hAnsiTheme="majorHAnsi"/>
          <w:sz w:val="21"/>
        </w:rPr>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413E78">
        <w:rPr>
          <w:rFonts w:asciiTheme="majorHAnsi" w:hAnsiTheme="majorHAnsi"/>
          <w:sz w:val="21"/>
        </w:rPr>
        <w:t xml:space="preserve">October </w:t>
      </w:r>
      <w:r w:rsidR="00BD7139">
        <w:rPr>
          <w:rFonts w:asciiTheme="majorHAnsi" w:hAnsiTheme="majorHAnsi"/>
          <w:sz w:val="21"/>
        </w:rPr>
        <w:t>9</w:t>
      </w:r>
      <w:r w:rsidR="00981F8A" w:rsidRPr="00B465ED">
        <w:rPr>
          <w:rFonts w:asciiTheme="majorHAnsi" w:hAnsiTheme="majorHAnsi"/>
          <w:sz w:val="21"/>
        </w:rPr>
        <w:t>, 201</w:t>
      </w:r>
      <w:r w:rsidR="00FB728C">
        <w:rPr>
          <w:rFonts w:asciiTheme="majorHAnsi" w:hAnsiTheme="majorHAnsi"/>
          <w:sz w:val="21"/>
        </w:rPr>
        <w:t>9</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bookmarkEnd w:id="0"/>
    </w:p>
    <w:p w14:paraId="4EDFBA64" w14:textId="77777777" w:rsidR="00307929" w:rsidRPr="00926A57" w:rsidRDefault="00307929" w:rsidP="00307929">
      <w:pPr>
        <w:ind w:left="360" w:hanging="360"/>
        <w:rPr>
          <w:rFonts w:asciiTheme="majorHAnsi" w:hAnsiTheme="majorHAnsi"/>
          <w:sz w:val="21"/>
        </w:rPr>
      </w:pPr>
    </w:p>
    <w:p w14:paraId="77FE768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b)  “</w:t>
      </w:r>
      <w:proofErr w:type="gramEnd"/>
      <w:r w:rsidRPr="00926A57">
        <w:rPr>
          <w:rFonts w:asciiTheme="majorHAnsi" w:hAnsiTheme="majorHAnsi"/>
          <w:sz w:val="21"/>
        </w:rPr>
        <w:t xml:space="preserve">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c)  “</w:t>
      </w:r>
      <w:proofErr w:type="gramEnd"/>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6B6415C1" w14:textId="77777777" w:rsidR="00307929" w:rsidRPr="00926A57" w:rsidRDefault="00307929" w:rsidP="00307929">
      <w:pPr>
        <w:widowControl w:val="0"/>
        <w:tabs>
          <w:tab w:val="left" w:pos="0"/>
        </w:tabs>
        <w:rPr>
          <w:rFonts w:asciiTheme="majorHAnsi" w:hAnsiTheme="majorHAnsi"/>
          <w:sz w:val="21"/>
        </w:rPr>
      </w:pPr>
    </w:p>
    <w:p w14:paraId="79A37F27" w14:textId="77777777" w:rsidR="00700441" w:rsidRPr="00926A57" w:rsidRDefault="00700441" w:rsidP="00870106">
      <w:pPr>
        <w:widowControl w:val="0"/>
        <w:tabs>
          <w:tab w:val="left" w:pos="360"/>
        </w:tabs>
        <w:ind w:left="360" w:hanging="360"/>
        <w:rPr>
          <w:rFonts w:asciiTheme="majorHAnsi" w:hAnsiTheme="majorHAnsi"/>
          <w:sz w:val="21"/>
        </w:rPr>
      </w:pPr>
    </w:p>
    <w:p w14:paraId="1051E6B1" w14:textId="77777777"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2FC1C383"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 xml:space="preserve">Drafts, document(s) and other communications hereunder may be presented or delivered to us by facsimile transmission. Presentation of documents to </w:t>
      </w:r>
      <w:proofErr w:type="gramStart"/>
      <w:r w:rsidRPr="00926A57">
        <w:rPr>
          <w:rFonts w:asciiTheme="majorHAnsi" w:hAnsiTheme="majorHAnsi"/>
          <w:sz w:val="21"/>
        </w:rPr>
        <w:t>effect</w:t>
      </w:r>
      <w:proofErr w:type="gramEnd"/>
      <w:r w:rsidRPr="00926A57">
        <w:rPr>
          <w:rFonts w:asciiTheme="majorHAnsi" w:hAnsiTheme="majorHAnsi"/>
          <w:sz w:val="21"/>
        </w:rPr>
        <w:t xml:space="preserve"> a draw by facsimile must be made to the following facsimile number: _______________, and confirmed by telephone to us at the following number: ________________. In the event of a presentation via facsimile transmission, no mail confirmation is </w:t>
      </w:r>
      <w:proofErr w:type="gramStart"/>
      <w:r w:rsidRPr="00926A57">
        <w:rPr>
          <w:rFonts w:asciiTheme="majorHAnsi" w:hAnsiTheme="majorHAnsi"/>
          <w:sz w:val="21"/>
        </w:rPr>
        <w:t>necessary</w:t>
      </w:r>
      <w:proofErr w:type="gramEnd"/>
      <w:r w:rsidRPr="00926A57">
        <w:rPr>
          <w:rFonts w:asciiTheme="majorHAnsi" w:hAnsiTheme="majorHAnsi"/>
          <w:sz w:val="21"/>
        </w:rPr>
        <w:t xml:space="preserve"> and the facsimile transmission will constitute the operative drawing documents.</w:t>
      </w:r>
    </w:p>
    <w:p w14:paraId="37764E62" w14:textId="77777777" w:rsidR="00307929" w:rsidRPr="00926A57" w:rsidRDefault="00307929" w:rsidP="00307929">
      <w:pPr>
        <w:tabs>
          <w:tab w:val="left" w:pos="360"/>
          <w:tab w:val="left" w:pos="810"/>
        </w:tabs>
        <w:ind w:left="360"/>
        <w:rPr>
          <w:rFonts w:asciiTheme="majorHAnsi" w:hAnsiTheme="majorHAnsi"/>
          <w:sz w:val="21"/>
        </w:rPr>
      </w:pP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ffers submitted by the  Bidder</w:t>
      </w:r>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4F1596EE"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77777777"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77777777"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77777777"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1"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1"/>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B1E0" w14:textId="77777777" w:rsidR="005522FD" w:rsidRDefault="005522FD">
      <w:r>
        <w:separator/>
      </w:r>
    </w:p>
  </w:endnote>
  <w:endnote w:type="continuationSeparator" w:id="0">
    <w:p w14:paraId="5D024D19" w14:textId="77777777" w:rsidR="005522FD" w:rsidRDefault="005522FD">
      <w:r>
        <w:continuationSeparator/>
      </w:r>
    </w:p>
  </w:endnote>
  <w:endnote w:type="continuationNotice" w:id="1">
    <w:p w14:paraId="174E8FCB" w14:textId="77777777" w:rsidR="005522FD" w:rsidRDefault="0055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B337" w14:textId="77777777" w:rsidR="005522FD" w:rsidRDefault="005522FD">
      <w:r>
        <w:separator/>
      </w:r>
    </w:p>
  </w:footnote>
  <w:footnote w:type="continuationSeparator" w:id="0">
    <w:p w14:paraId="2AE2F0CC" w14:textId="77777777" w:rsidR="005522FD" w:rsidRDefault="005522FD">
      <w:r>
        <w:continuationSeparator/>
      </w:r>
    </w:p>
  </w:footnote>
  <w:footnote w:type="continuationNotice" w:id="1">
    <w:p w14:paraId="2E0A6692" w14:textId="77777777" w:rsidR="005522FD" w:rsidRDefault="005522FD"/>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24B67"/>
    <w:rsid w:val="00133F6E"/>
    <w:rsid w:val="001350A8"/>
    <w:rsid w:val="00165D01"/>
    <w:rsid w:val="00171F87"/>
    <w:rsid w:val="00197245"/>
    <w:rsid w:val="001A71B2"/>
    <w:rsid w:val="001C400A"/>
    <w:rsid w:val="001C6277"/>
    <w:rsid w:val="001F0B7C"/>
    <w:rsid w:val="001F27B2"/>
    <w:rsid w:val="00201B1F"/>
    <w:rsid w:val="00203F3C"/>
    <w:rsid w:val="00205423"/>
    <w:rsid w:val="00215B90"/>
    <w:rsid w:val="00227918"/>
    <w:rsid w:val="00236CF9"/>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539A"/>
    <w:rsid w:val="00351AF3"/>
    <w:rsid w:val="0036073A"/>
    <w:rsid w:val="003621AD"/>
    <w:rsid w:val="0036540F"/>
    <w:rsid w:val="00373CC2"/>
    <w:rsid w:val="003825E9"/>
    <w:rsid w:val="003934B5"/>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B0AAA"/>
    <w:rsid w:val="004B330A"/>
    <w:rsid w:val="004D1277"/>
    <w:rsid w:val="004E43FF"/>
    <w:rsid w:val="004E5948"/>
    <w:rsid w:val="0050036B"/>
    <w:rsid w:val="00506870"/>
    <w:rsid w:val="00514DD5"/>
    <w:rsid w:val="00517B90"/>
    <w:rsid w:val="00525C0E"/>
    <w:rsid w:val="00533FBD"/>
    <w:rsid w:val="005344A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D5FFA"/>
    <w:rsid w:val="007F50FD"/>
    <w:rsid w:val="007F6898"/>
    <w:rsid w:val="00800CD4"/>
    <w:rsid w:val="00803A02"/>
    <w:rsid w:val="00803FCE"/>
    <w:rsid w:val="008110C7"/>
    <w:rsid w:val="008112A8"/>
    <w:rsid w:val="0082496F"/>
    <w:rsid w:val="00826E02"/>
    <w:rsid w:val="00827AB4"/>
    <w:rsid w:val="00832090"/>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81F8A"/>
    <w:rsid w:val="00997EC8"/>
    <w:rsid w:val="009A2B90"/>
    <w:rsid w:val="009A5BDC"/>
    <w:rsid w:val="009B37D8"/>
    <w:rsid w:val="009B7634"/>
    <w:rsid w:val="009E6EA5"/>
    <w:rsid w:val="009E773C"/>
    <w:rsid w:val="009F18C9"/>
    <w:rsid w:val="00A038D4"/>
    <w:rsid w:val="00A03ACE"/>
    <w:rsid w:val="00A11A85"/>
    <w:rsid w:val="00A14079"/>
    <w:rsid w:val="00A3444F"/>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0647F"/>
    <w:rsid w:val="00B1052B"/>
    <w:rsid w:val="00B10C0B"/>
    <w:rsid w:val="00B13EB5"/>
    <w:rsid w:val="00B14C45"/>
    <w:rsid w:val="00B21474"/>
    <w:rsid w:val="00B24B07"/>
    <w:rsid w:val="00B36909"/>
    <w:rsid w:val="00B4343C"/>
    <w:rsid w:val="00B465ED"/>
    <w:rsid w:val="00B54B73"/>
    <w:rsid w:val="00B6584E"/>
    <w:rsid w:val="00B704A5"/>
    <w:rsid w:val="00B848D6"/>
    <w:rsid w:val="00B871B1"/>
    <w:rsid w:val="00BA387C"/>
    <w:rsid w:val="00BA526F"/>
    <w:rsid w:val="00BB73B9"/>
    <w:rsid w:val="00BC3EC6"/>
    <w:rsid w:val="00BC63F7"/>
    <w:rsid w:val="00BD3498"/>
    <w:rsid w:val="00BD7139"/>
    <w:rsid w:val="00BE0F49"/>
    <w:rsid w:val="00BE1857"/>
    <w:rsid w:val="00BF09BE"/>
    <w:rsid w:val="00C01563"/>
    <w:rsid w:val="00C06116"/>
    <w:rsid w:val="00C200D0"/>
    <w:rsid w:val="00C21A9E"/>
    <w:rsid w:val="00C24905"/>
    <w:rsid w:val="00C25391"/>
    <w:rsid w:val="00C5375A"/>
    <w:rsid w:val="00C5539C"/>
    <w:rsid w:val="00C66387"/>
    <w:rsid w:val="00C72671"/>
    <w:rsid w:val="00CA58FF"/>
    <w:rsid w:val="00CF0200"/>
    <w:rsid w:val="00D02FDA"/>
    <w:rsid w:val="00D06CE9"/>
    <w:rsid w:val="00D15674"/>
    <w:rsid w:val="00D201E8"/>
    <w:rsid w:val="00D263AE"/>
    <w:rsid w:val="00D538CA"/>
    <w:rsid w:val="00D57A8E"/>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766E3"/>
    <w:rsid w:val="00E873A6"/>
    <w:rsid w:val="00E91B0D"/>
    <w:rsid w:val="00E96E57"/>
    <w:rsid w:val="00EA1A15"/>
    <w:rsid w:val="00EA707D"/>
    <w:rsid w:val="00EB48AC"/>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B43F-EB31-4273-8C60-BC7765D8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2019-05-15T20:10:00Z</dcterms:created>
  <dcterms:modified xsi:type="dcterms:W3CDTF">2019-08-02T16:57:00Z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